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9E2B84" w:rsidRDefault="009567DA" w:rsidP="00725380">
            <w:pPr>
              <w:jc w:val="center"/>
              <w:rPr>
                <w:b/>
              </w:rPr>
            </w:pPr>
            <w:r>
              <w:rPr>
                <w:b/>
              </w:rPr>
              <w:t>12 September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AF7179" w:rsidRDefault="00AF7179" w:rsidP="00AC4A99">
            <w:r w:rsidRPr="00AF7179">
              <w:t>A</w:t>
            </w:r>
            <w:r w:rsidR="00F148A9">
              <w:t>pproval</w:t>
            </w:r>
            <w:r w:rsidRPr="00AF7179">
              <w:t xml:space="preserve"> of the Housing Enforcement Policy </w:t>
            </w:r>
            <w:r w:rsidR="00A72255">
              <w:t>and</w:t>
            </w:r>
            <w:r w:rsidRPr="00AF7179">
              <w:t xml:space="preserve"> Civil Penalties Guidance Document</w:t>
            </w:r>
          </w:p>
          <w:p w:rsidR="00491976" w:rsidRPr="009E2B84" w:rsidRDefault="00491976" w:rsidP="00AC4A99">
            <w:pPr>
              <w:rPr>
                <w:b/>
              </w:rPr>
            </w:pPr>
          </w:p>
        </w:tc>
        <w:tc>
          <w:tcPr>
            <w:tcW w:w="2410" w:type="dxa"/>
            <w:vAlign w:val="center"/>
          </w:tcPr>
          <w:p w:rsidR="00491976" w:rsidRPr="0014052B" w:rsidRDefault="0014052B" w:rsidP="00491976">
            <w:pPr>
              <w:jc w:val="center"/>
            </w:pPr>
            <w:r w:rsidRPr="0014052B">
              <w:rPr>
                <w:bCs/>
              </w:rPr>
              <w:t>Strategic Planning, Housing and Economic Growth</w:t>
            </w:r>
          </w:p>
        </w:tc>
        <w:tc>
          <w:tcPr>
            <w:tcW w:w="2551" w:type="dxa"/>
            <w:vAlign w:val="center"/>
          </w:tcPr>
          <w:p w:rsidR="00491976" w:rsidRPr="00AF7179" w:rsidRDefault="00AF7179" w:rsidP="00A72255">
            <w:pPr>
              <w:jc w:val="center"/>
            </w:pPr>
            <w:r w:rsidRPr="00AF7179">
              <w:t xml:space="preserve">Director of Neighbourhoods </w:t>
            </w:r>
            <w:r w:rsidR="00A72255">
              <w:t>and</w:t>
            </w:r>
            <w:bookmarkStart w:id="0" w:name="_GoBack"/>
            <w:bookmarkEnd w:id="0"/>
            <w:r w:rsidRPr="00AF7179">
              <w:t xml:space="preserve">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Pr="00DE5E12" w:rsidRDefault="002F5C5E" w:rsidP="00AC4A99">
            <w:pPr>
              <w:rPr>
                <w:i/>
                <w:color w:val="0070C0"/>
                <w:szCs w:val="22"/>
              </w:rPr>
            </w:pP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AF7179">
            <w:pPr>
              <w:rPr>
                <w:szCs w:val="22"/>
              </w:rPr>
            </w:pPr>
          </w:p>
        </w:tc>
        <w:tc>
          <w:tcPr>
            <w:tcW w:w="3266" w:type="dxa"/>
            <w:shd w:val="clear" w:color="auto" w:fill="auto"/>
          </w:tcPr>
          <w:p w:rsidR="002F5C5E" w:rsidRDefault="002F5C5E" w:rsidP="00AF7179">
            <w:pPr>
              <w:rPr>
                <w:b/>
                <w:szCs w:val="22"/>
              </w:rPr>
            </w:pPr>
            <w:r w:rsidRPr="00F3057A">
              <w:rPr>
                <w:b/>
                <w:szCs w:val="22"/>
              </w:rPr>
              <w:t xml:space="preserve">Yes   </w:t>
            </w:r>
          </w:p>
          <w:p w:rsidR="00AF7179" w:rsidRPr="009C1143" w:rsidRDefault="00AF7179" w:rsidP="00AF7179">
            <w:pPr>
              <w:rPr>
                <w:i/>
                <w:color w:val="0070C0"/>
                <w:szCs w:val="22"/>
              </w:rPr>
            </w:pPr>
          </w:p>
          <w:p w:rsidR="002F5C5E" w:rsidRPr="009C1143" w:rsidRDefault="002F5C5E" w:rsidP="00AC4A99">
            <w:pPr>
              <w:rPr>
                <w:szCs w:val="22"/>
              </w:rPr>
            </w:pPr>
          </w:p>
          <w:p w:rsidR="00594D09" w:rsidRDefault="00F44C89" w:rsidP="00AF7179">
            <w:pPr>
              <w:rPr>
                <w:b/>
                <w:szCs w:val="22"/>
              </w:rPr>
            </w:pPr>
            <w:r>
              <w:rPr>
                <w:b/>
                <w:szCs w:val="22"/>
              </w:rPr>
              <w:t xml:space="preserve">Yes </w:t>
            </w:r>
          </w:p>
          <w:p w:rsidR="00AF7179" w:rsidRPr="009C1143" w:rsidRDefault="00AF7179" w:rsidP="00AF7179">
            <w:pPr>
              <w:rPr>
                <w:i/>
                <w:color w:val="0070C0"/>
                <w:szCs w:val="22"/>
              </w:rPr>
            </w:pPr>
          </w:p>
          <w:p w:rsidR="002F5C5E" w:rsidRPr="00F3057A" w:rsidRDefault="002F5C5E"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E50A9C" w:rsidRDefault="00E50A9C" w:rsidP="00AC4A99">
            <w:pPr>
              <w:rPr>
                <w:b/>
                <w:szCs w:val="22"/>
              </w:rPr>
            </w:pPr>
          </w:p>
          <w:p w:rsidR="00AF7179" w:rsidRDefault="00AF7179" w:rsidP="00AC4A99">
            <w:pPr>
              <w:rPr>
                <w:b/>
                <w:szCs w:val="22"/>
              </w:rPr>
            </w:pPr>
          </w:p>
          <w:p w:rsidR="00E50A9C" w:rsidRDefault="00E50A9C" w:rsidP="00AC4A99">
            <w:pPr>
              <w:rPr>
                <w:b/>
                <w:szCs w:val="22"/>
              </w:rPr>
            </w:pPr>
            <w:r>
              <w:rPr>
                <w:b/>
                <w:szCs w:val="22"/>
              </w:rPr>
              <w:t>No</w:t>
            </w:r>
          </w:p>
          <w:p w:rsidR="00594D09" w:rsidRPr="009C1143" w:rsidRDefault="00594D09" w:rsidP="00AF7179">
            <w:pPr>
              <w:rPr>
                <w:szCs w:val="22"/>
              </w:rPr>
            </w:pP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2F5C5E" w:rsidRPr="00AF7179" w:rsidRDefault="001C1ECC" w:rsidP="007A0801">
      <w:pPr>
        <w:keepNext/>
        <w:numPr>
          <w:ilvl w:val="1"/>
          <w:numId w:val="8"/>
        </w:numPr>
        <w:ind w:left="567" w:hanging="567"/>
        <w:outlineLvl w:val="0"/>
        <w:rPr>
          <w:b/>
          <w:color w:val="2E74B5" w:themeColor="accent1" w:themeShade="BF"/>
          <w:szCs w:val="22"/>
        </w:rPr>
      </w:pPr>
      <w:r>
        <w:rPr>
          <w:szCs w:val="22"/>
        </w:rPr>
        <w:t>The report seeks Members</w:t>
      </w:r>
      <w:r w:rsidR="009D5F9C">
        <w:rPr>
          <w:szCs w:val="22"/>
        </w:rPr>
        <w:t>’</w:t>
      </w:r>
      <w:r w:rsidR="00AF7179" w:rsidRPr="00AF7179">
        <w:rPr>
          <w:szCs w:val="22"/>
        </w:rPr>
        <w:t xml:space="preserve"> approval of the draft </w:t>
      </w:r>
      <w:r w:rsidR="00AF7179" w:rsidRPr="00AF7179">
        <w:rPr>
          <w:i/>
          <w:szCs w:val="22"/>
        </w:rPr>
        <w:t>‘Private Sector Housing Enforcement Policy’</w:t>
      </w:r>
      <w:r w:rsidR="00AF7179" w:rsidRPr="00AF7179">
        <w:rPr>
          <w:szCs w:val="22"/>
        </w:rPr>
        <w:t xml:space="preserve"> and </w:t>
      </w:r>
      <w:r w:rsidR="00AF7179" w:rsidRPr="00AF7179">
        <w:rPr>
          <w:i/>
          <w:szCs w:val="22"/>
        </w:rPr>
        <w:t>‘Private Sector Housing Civil Penalties Enforcement Guidance’</w:t>
      </w:r>
      <w:r w:rsidR="00F148A9">
        <w:rPr>
          <w:szCs w:val="22"/>
        </w:rPr>
        <w:t>.</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2F5C5E" w:rsidRPr="00AF7179" w:rsidRDefault="00AF7179" w:rsidP="00AF7179">
      <w:pPr>
        <w:keepNext/>
        <w:numPr>
          <w:ilvl w:val="1"/>
          <w:numId w:val="8"/>
        </w:numPr>
        <w:outlineLvl w:val="0"/>
        <w:rPr>
          <w:b/>
          <w:szCs w:val="22"/>
        </w:rPr>
      </w:pPr>
      <w:r w:rsidRPr="00AF7179">
        <w:rPr>
          <w:szCs w:val="22"/>
        </w:rPr>
        <w:t>T</w:t>
      </w:r>
      <w:r w:rsidR="001C1ECC">
        <w:rPr>
          <w:szCs w:val="22"/>
        </w:rPr>
        <w:t xml:space="preserve">hat Cabinet agree to adopt </w:t>
      </w:r>
      <w:r w:rsidRPr="00AF7179">
        <w:rPr>
          <w:szCs w:val="22"/>
        </w:rPr>
        <w:t>the draft ‘Private Sector Housing Enforcement Policy’ and ‘Private Sector Housing Civil Penalties Enforcement Guidance’.</w:t>
      </w:r>
    </w:p>
    <w:p w:rsidR="002F5C5E" w:rsidRPr="00970C70" w:rsidRDefault="002F5C5E" w:rsidP="002F5C5E">
      <w:pPr>
        <w:rPr>
          <w:i/>
          <w:color w:val="2E74B5" w:themeColor="accent1" w:themeShade="BF"/>
          <w:szCs w:val="22"/>
        </w:rPr>
      </w:pPr>
    </w:p>
    <w:p w:rsidR="00BD2AFE" w:rsidRPr="00F148A9" w:rsidRDefault="00CC4337" w:rsidP="00CC4337">
      <w:pPr>
        <w:numPr>
          <w:ilvl w:val="0"/>
          <w:numId w:val="8"/>
        </w:numPr>
        <w:ind w:left="567" w:hanging="567"/>
        <w:rPr>
          <w:b/>
          <w:color w:val="000000"/>
          <w:szCs w:val="22"/>
        </w:rPr>
      </w:pPr>
      <w:r w:rsidRPr="00F148A9">
        <w:rPr>
          <w:b/>
          <w:color w:val="000000"/>
          <w:szCs w:val="22"/>
        </w:rPr>
        <w:t>REASONS FOR THE DECISION</w:t>
      </w:r>
    </w:p>
    <w:p w:rsidR="007A0801" w:rsidRPr="00970C70" w:rsidRDefault="007A0801" w:rsidP="007A0801">
      <w:pPr>
        <w:ind w:left="567"/>
        <w:rPr>
          <w:b/>
          <w:i/>
          <w:color w:val="2E74B5" w:themeColor="accent1" w:themeShade="BF"/>
          <w:szCs w:val="22"/>
        </w:rPr>
      </w:pPr>
    </w:p>
    <w:p w:rsidR="00F148A9" w:rsidRPr="00F44C89" w:rsidRDefault="007B223D" w:rsidP="00F148A9">
      <w:pPr>
        <w:pStyle w:val="ListParagraph"/>
        <w:numPr>
          <w:ilvl w:val="1"/>
          <w:numId w:val="8"/>
        </w:numPr>
        <w:rPr>
          <w:rFonts w:ascii="Arial" w:hAnsi="Arial" w:cs="Arial"/>
        </w:rPr>
      </w:pPr>
      <w:r w:rsidRPr="00F44C89">
        <w:rPr>
          <w:rFonts w:ascii="Arial" w:hAnsi="Arial" w:cs="Arial"/>
        </w:rPr>
        <w:t>Statutory guidance issued by the Ministry of Housing, Communities and Local Government specifies that Local auth</w:t>
      </w:r>
      <w:r w:rsidR="00535349">
        <w:rPr>
          <w:rFonts w:ascii="Arial" w:hAnsi="Arial" w:cs="Arial"/>
        </w:rPr>
        <w:t>orities are expected to develop</w:t>
      </w:r>
      <w:r w:rsidRPr="00F44C89">
        <w:rPr>
          <w:rFonts w:ascii="Arial" w:hAnsi="Arial" w:cs="Arial"/>
        </w:rPr>
        <w:t xml:space="preserve"> their own policies and procedures on how the new powers are to be implemented. </w:t>
      </w:r>
    </w:p>
    <w:p w:rsidR="007B223D" w:rsidRPr="00F44C89" w:rsidRDefault="007B223D" w:rsidP="007B223D">
      <w:pPr>
        <w:pStyle w:val="ListParagraph"/>
        <w:numPr>
          <w:ilvl w:val="1"/>
          <w:numId w:val="8"/>
        </w:numPr>
        <w:rPr>
          <w:rFonts w:ascii="Arial" w:hAnsi="Arial" w:cs="Arial"/>
        </w:rPr>
      </w:pPr>
      <w:r w:rsidRPr="00F44C89">
        <w:rPr>
          <w:rFonts w:ascii="Arial" w:hAnsi="Arial" w:cs="Arial"/>
        </w:rPr>
        <w:t>The Private Sector Housing Enforcement Policy has been developed and outlines the enforcement approach and the available enforcement powers the council have at our disposal to manage non-compliance with the law within a private housing setting.</w:t>
      </w:r>
    </w:p>
    <w:p w:rsidR="007B223D" w:rsidRPr="00F44C89" w:rsidRDefault="007B223D" w:rsidP="007B223D">
      <w:pPr>
        <w:pStyle w:val="ListParagraph"/>
        <w:numPr>
          <w:ilvl w:val="1"/>
          <w:numId w:val="8"/>
        </w:numPr>
        <w:rPr>
          <w:rFonts w:ascii="Arial" w:hAnsi="Arial" w:cs="Arial"/>
        </w:rPr>
      </w:pPr>
      <w:r w:rsidRPr="00F44C89">
        <w:rPr>
          <w:rFonts w:ascii="Arial" w:hAnsi="Arial" w:cs="Arial"/>
        </w:rPr>
        <w:t>The policy seeks to:</w:t>
      </w:r>
    </w:p>
    <w:p w:rsidR="007B223D" w:rsidRPr="00F44C89" w:rsidRDefault="007B223D" w:rsidP="007B223D">
      <w:pPr>
        <w:pStyle w:val="ListParagraph"/>
        <w:numPr>
          <w:ilvl w:val="2"/>
          <w:numId w:val="8"/>
        </w:numPr>
        <w:rPr>
          <w:rFonts w:ascii="Arial" w:hAnsi="Arial" w:cs="Arial"/>
        </w:rPr>
      </w:pPr>
      <w:r w:rsidRPr="00F44C89">
        <w:rPr>
          <w:rFonts w:ascii="Arial" w:hAnsi="Arial" w:cs="Arial"/>
        </w:rPr>
        <w:t>clearly set out in one place our approach to enforcement and the range of enforcement options available to officers under multiple pieces of legislation</w:t>
      </w:r>
    </w:p>
    <w:p w:rsidR="007B223D" w:rsidRPr="00F44C89" w:rsidRDefault="007B223D" w:rsidP="007B223D">
      <w:pPr>
        <w:pStyle w:val="ListParagraph"/>
        <w:numPr>
          <w:ilvl w:val="2"/>
          <w:numId w:val="8"/>
        </w:numPr>
        <w:rPr>
          <w:rFonts w:ascii="Arial" w:hAnsi="Arial" w:cs="Arial"/>
        </w:rPr>
      </w:pPr>
      <w:r w:rsidRPr="00F44C89">
        <w:rPr>
          <w:rFonts w:ascii="Arial" w:hAnsi="Arial" w:cs="Arial"/>
        </w:rPr>
        <w:t>ensure our enforcement is consistent and transparent</w:t>
      </w:r>
    </w:p>
    <w:p w:rsidR="007B223D" w:rsidRPr="00F44C89" w:rsidRDefault="007B223D" w:rsidP="007B223D">
      <w:pPr>
        <w:pStyle w:val="ListParagraph"/>
        <w:numPr>
          <w:ilvl w:val="2"/>
          <w:numId w:val="8"/>
        </w:numPr>
        <w:rPr>
          <w:rFonts w:ascii="Arial" w:hAnsi="Arial" w:cs="Arial"/>
        </w:rPr>
      </w:pPr>
      <w:r w:rsidRPr="00F44C89">
        <w:rPr>
          <w:rFonts w:ascii="Arial" w:hAnsi="Arial" w:cs="Arial"/>
        </w:rPr>
        <w:t>ensure all new legislation is incorporated and acted on within working practices. This includes clearly stating what monetary amounts will be charged if a civil penalty is issued - The Housing and Planning Act 2016 introduced a new financial penalty regime in April 2017, permitting local authorities to impose a civil penalty of up to £30,000.</w:t>
      </w:r>
    </w:p>
    <w:p w:rsidR="007B223D" w:rsidRPr="00F44C89" w:rsidRDefault="007B223D" w:rsidP="007B223D">
      <w:pPr>
        <w:pStyle w:val="ListParagraph"/>
        <w:numPr>
          <w:ilvl w:val="1"/>
          <w:numId w:val="8"/>
        </w:numPr>
        <w:rPr>
          <w:rFonts w:ascii="Arial" w:hAnsi="Arial" w:cs="Arial"/>
        </w:rPr>
      </w:pPr>
      <w:r w:rsidRPr="00F44C89">
        <w:rPr>
          <w:rFonts w:ascii="Arial" w:hAnsi="Arial" w:cs="Arial"/>
        </w:rPr>
        <w:lastRenderedPageBreak/>
        <w:t>The Private Sector Housing Civil Penalties Enforcement Guidance details the methodology to be utilised when issuing Civil penalties in line with the enforcement policy to ensure that a suitable, fair effective penalty is imposed in each case.</w:t>
      </w:r>
    </w:p>
    <w:p w:rsidR="002F5C5E" w:rsidRPr="00CC4337" w:rsidRDefault="002F5C5E" w:rsidP="002F5C5E">
      <w:pPr>
        <w:rPr>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F148A9"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F148A9" w:rsidP="00A975A7">
            <w:pPr>
              <w:rPr>
                <w:szCs w:val="22"/>
                <w:highlight w:val="yellow"/>
              </w:rPr>
            </w:pPr>
            <w:r>
              <w:rPr>
                <w:szCs w:val="22"/>
                <w:highlight w:val="yellow"/>
              </w:rPr>
              <w:t>X</w:t>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F148A9" w:rsidP="00A975A7">
            <w:pPr>
              <w:rPr>
                <w:szCs w:val="22"/>
              </w:rPr>
            </w:pPr>
            <w:r>
              <w:rPr>
                <w:szCs w:val="22"/>
              </w:rPr>
              <w:t>X</w:t>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EF3B6C">
      <w:pPr>
        <w:keepNext/>
        <w:ind w:left="567"/>
        <w:outlineLvl w:val="0"/>
        <w:rPr>
          <w:b/>
          <w:szCs w:val="22"/>
        </w:rPr>
      </w:pPr>
    </w:p>
    <w:p w:rsidR="00F148A9" w:rsidRPr="00240D10" w:rsidRDefault="00F148A9" w:rsidP="00240D10">
      <w:pPr>
        <w:pStyle w:val="ListParagraph"/>
        <w:numPr>
          <w:ilvl w:val="1"/>
          <w:numId w:val="8"/>
        </w:numPr>
        <w:jc w:val="both"/>
        <w:rPr>
          <w:rFonts w:ascii="Arial" w:hAnsi="Arial" w:cs="Arial"/>
        </w:rPr>
      </w:pPr>
      <w:r w:rsidRPr="00F148A9">
        <w:rPr>
          <w:rFonts w:ascii="Arial" w:hAnsi="Arial" w:cs="Arial"/>
        </w:rPr>
        <w:t>Under the Housing and Planning Act 2016</w:t>
      </w:r>
      <w:r w:rsidR="00240D10">
        <w:rPr>
          <w:rFonts w:ascii="Arial" w:hAnsi="Arial" w:cs="Arial"/>
        </w:rPr>
        <w:t xml:space="preserve"> a range of new measures were introduced designed to ‘crackdown’ on rogue landlords. These</w:t>
      </w:r>
      <w:r w:rsidRPr="00F148A9">
        <w:rPr>
          <w:rFonts w:ascii="Arial" w:hAnsi="Arial" w:cs="Arial"/>
        </w:rPr>
        <w:t xml:space="preserve"> </w:t>
      </w:r>
      <w:r w:rsidR="00240D10">
        <w:rPr>
          <w:rFonts w:ascii="Arial" w:hAnsi="Arial" w:cs="Arial"/>
        </w:rPr>
        <w:t xml:space="preserve">included </w:t>
      </w:r>
      <w:r w:rsidRPr="00F148A9">
        <w:rPr>
          <w:rFonts w:ascii="Arial" w:hAnsi="Arial" w:cs="Arial"/>
        </w:rPr>
        <w:t xml:space="preserve">new powers </w:t>
      </w:r>
      <w:r w:rsidR="00240D10">
        <w:rPr>
          <w:rFonts w:ascii="Arial" w:hAnsi="Arial" w:cs="Arial"/>
        </w:rPr>
        <w:t>for</w:t>
      </w:r>
      <w:r w:rsidRPr="00F148A9">
        <w:rPr>
          <w:rFonts w:ascii="Arial" w:hAnsi="Arial" w:cs="Arial"/>
        </w:rPr>
        <w:t xml:space="preserve"> Local authorities in relation to the administration of civil penalties</w:t>
      </w:r>
      <w:r w:rsidR="00240D10">
        <w:rPr>
          <w:rFonts w:ascii="Arial" w:hAnsi="Arial" w:cs="Arial"/>
        </w:rPr>
        <w:t>,</w:t>
      </w:r>
      <w:r w:rsidRPr="00F148A9">
        <w:rPr>
          <w:rFonts w:ascii="Arial" w:hAnsi="Arial" w:cs="Arial"/>
        </w:rPr>
        <w:t xml:space="preserve"> the use of Banning Orders for rogue landlords</w:t>
      </w:r>
      <w:r w:rsidR="00240D10">
        <w:rPr>
          <w:rFonts w:ascii="Arial" w:hAnsi="Arial" w:cs="Arial"/>
        </w:rPr>
        <w:t>, extension of Rent Repayment Orders and a Rogue Landlord database.</w:t>
      </w:r>
    </w:p>
    <w:p w:rsidR="00240D10" w:rsidRPr="00F148A9" w:rsidRDefault="00240D10" w:rsidP="00240D10">
      <w:pPr>
        <w:pStyle w:val="ListParagraph"/>
        <w:jc w:val="both"/>
        <w:rPr>
          <w:rFonts w:ascii="Arial" w:hAnsi="Arial" w:cs="Arial"/>
        </w:rPr>
      </w:pPr>
    </w:p>
    <w:p w:rsidR="008C04DA" w:rsidRDefault="00F148A9" w:rsidP="00F148A9">
      <w:pPr>
        <w:pStyle w:val="ListParagraph"/>
        <w:numPr>
          <w:ilvl w:val="1"/>
          <w:numId w:val="8"/>
        </w:numPr>
        <w:jc w:val="both"/>
        <w:rPr>
          <w:rFonts w:ascii="Arial" w:hAnsi="Arial" w:cs="Arial"/>
        </w:rPr>
      </w:pPr>
      <w:r w:rsidRPr="00240D10">
        <w:rPr>
          <w:rFonts w:ascii="Arial" w:hAnsi="Arial" w:cs="Arial"/>
        </w:rPr>
        <w:t xml:space="preserve">The draft </w:t>
      </w:r>
      <w:r w:rsidR="00240D10">
        <w:rPr>
          <w:rFonts w:ascii="Arial" w:hAnsi="Arial" w:cs="Arial"/>
        </w:rPr>
        <w:t>‘</w:t>
      </w:r>
      <w:r w:rsidRPr="00240D10">
        <w:rPr>
          <w:rFonts w:ascii="Arial" w:hAnsi="Arial" w:cs="Arial"/>
        </w:rPr>
        <w:t xml:space="preserve">Enforcement </w:t>
      </w:r>
      <w:r w:rsidR="00240D10">
        <w:rPr>
          <w:rFonts w:ascii="Arial" w:hAnsi="Arial" w:cs="Arial"/>
        </w:rPr>
        <w:t>G</w:t>
      </w:r>
      <w:r w:rsidRPr="00240D10">
        <w:rPr>
          <w:rFonts w:ascii="Arial" w:hAnsi="Arial" w:cs="Arial"/>
        </w:rPr>
        <w:t>uide</w:t>
      </w:r>
      <w:r w:rsidR="00240D10">
        <w:rPr>
          <w:rFonts w:ascii="Arial" w:hAnsi="Arial" w:cs="Arial"/>
        </w:rPr>
        <w:t>’</w:t>
      </w:r>
      <w:r w:rsidRPr="00240D10">
        <w:rPr>
          <w:rFonts w:ascii="Arial" w:hAnsi="Arial" w:cs="Arial"/>
        </w:rPr>
        <w:t xml:space="preserve"> sets out the procedures</w:t>
      </w:r>
      <w:r w:rsidR="009D5F9C">
        <w:rPr>
          <w:rFonts w:ascii="Arial" w:hAnsi="Arial" w:cs="Arial"/>
        </w:rPr>
        <w:t xml:space="preserve"> to</w:t>
      </w:r>
      <w:r w:rsidRPr="00240D10">
        <w:rPr>
          <w:rFonts w:ascii="Arial" w:hAnsi="Arial" w:cs="Arial"/>
        </w:rPr>
        <w:t xml:space="preserve"> be followed when dealing with housing related issues and those matters which need to be considered when taking enforcement action</w:t>
      </w:r>
      <w:r w:rsidR="00240D10" w:rsidRPr="00240D10">
        <w:rPr>
          <w:rFonts w:ascii="Arial" w:hAnsi="Arial" w:cs="Arial"/>
        </w:rPr>
        <w:t>, while the ‘Civil Penalties Guidance’ document provides further details on how civil penalties will be calculated in each individual case should a decision be made to issue a civil penalty.</w:t>
      </w:r>
    </w:p>
    <w:p w:rsidR="00240D10" w:rsidRPr="00240D10" w:rsidRDefault="00240D10" w:rsidP="00240D10">
      <w:pPr>
        <w:pStyle w:val="ListParagraph"/>
        <w:rPr>
          <w:rFonts w:ascii="Arial" w:hAnsi="Arial" w:cs="Arial"/>
        </w:rPr>
      </w:pPr>
    </w:p>
    <w:p w:rsidR="00240D10" w:rsidRDefault="00240D10" w:rsidP="00F148A9">
      <w:pPr>
        <w:pStyle w:val="ListParagraph"/>
        <w:numPr>
          <w:ilvl w:val="1"/>
          <w:numId w:val="8"/>
        </w:numPr>
        <w:jc w:val="both"/>
        <w:rPr>
          <w:rFonts w:ascii="Arial" w:hAnsi="Arial" w:cs="Arial"/>
        </w:rPr>
      </w:pPr>
      <w:r>
        <w:rPr>
          <w:rFonts w:ascii="Arial" w:hAnsi="Arial" w:cs="Arial"/>
        </w:rPr>
        <w:t>The two documents have been written in line with statutory guidance and discussions with a number of local authorities across the country.</w:t>
      </w:r>
    </w:p>
    <w:p w:rsidR="00240D10" w:rsidRPr="00240D10" w:rsidRDefault="00240D10" w:rsidP="00240D10">
      <w:pPr>
        <w:pStyle w:val="ListParagraph"/>
        <w:rPr>
          <w:rFonts w:ascii="Arial" w:hAnsi="Arial" w:cs="Arial"/>
        </w:rPr>
      </w:pPr>
    </w:p>
    <w:p w:rsidR="00240D10" w:rsidRDefault="00240D10" w:rsidP="00F148A9">
      <w:pPr>
        <w:pStyle w:val="ListParagraph"/>
        <w:numPr>
          <w:ilvl w:val="1"/>
          <w:numId w:val="8"/>
        </w:numPr>
        <w:jc w:val="both"/>
        <w:rPr>
          <w:rFonts w:ascii="Arial" w:hAnsi="Arial" w:cs="Arial"/>
        </w:rPr>
      </w:pPr>
      <w:r>
        <w:rPr>
          <w:rFonts w:ascii="Arial" w:hAnsi="Arial" w:cs="Arial"/>
        </w:rPr>
        <w:t xml:space="preserve">The Civil Penalties would range from £500 to £30,000 (the maximum allowed by the Act) as an alternative to prosecution depending on the individual circumstances of each case. These would have the same standard of proof as for a prosecution. The imposition of a Civil Penalty could provide a way to deal with offences in a more straightforward and efficient manner without the need for criminal proceedings. Criminal Proceedings would still be considered where serious breaches of legislation have occurred. </w:t>
      </w:r>
    </w:p>
    <w:p w:rsidR="00240D10" w:rsidRPr="00240D10" w:rsidRDefault="00240D10" w:rsidP="00240D10">
      <w:pPr>
        <w:pStyle w:val="ListParagraph"/>
        <w:rPr>
          <w:rFonts w:ascii="Arial" w:hAnsi="Arial" w:cs="Arial"/>
        </w:rPr>
      </w:pPr>
    </w:p>
    <w:p w:rsidR="00240D10" w:rsidRPr="00240D10" w:rsidRDefault="00240D10" w:rsidP="00F148A9">
      <w:pPr>
        <w:pStyle w:val="ListParagraph"/>
        <w:numPr>
          <w:ilvl w:val="1"/>
          <w:numId w:val="8"/>
        </w:numPr>
        <w:jc w:val="both"/>
        <w:rPr>
          <w:rFonts w:ascii="Arial" w:hAnsi="Arial" w:cs="Arial"/>
        </w:rPr>
      </w:pPr>
      <w:r>
        <w:rPr>
          <w:rFonts w:ascii="Arial" w:hAnsi="Arial" w:cs="Arial"/>
        </w:rPr>
        <w:t xml:space="preserve">While the decision to impose a civil penalty would be the responsibility of the Director of Neighbourhoods </w:t>
      </w:r>
      <w:r w:rsidR="009D5F9C">
        <w:rPr>
          <w:rFonts w:ascii="Arial" w:hAnsi="Arial" w:cs="Arial"/>
        </w:rPr>
        <w:t>and</w:t>
      </w:r>
      <w:r>
        <w:rPr>
          <w:rFonts w:ascii="Arial" w:hAnsi="Arial" w:cs="Arial"/>
        </w:rPr>
        <w:t xml:space="preserve"> Development, the decision would be made following consultation with the Council’s legal team</w:t>
      </w:r>
      <w:r w:rsidR="009D3E4A">
        <w:rPr>
          <w:rFonts w:ascii="Arial" w:hAnsi="Arial" w:cs="Arial"/>
        </w:rPr>
        <w:t xml:space="preserve"> as to whether the civil penalty would be appropriate.</w:t>
      </w:r>
    </w:p>
    <w:p w:rsidR="008C04DA" w:rsidRDefault="0037228A" w:rsidP="0065176C">
      <w:pPr>
        <w:keepNext/>
        <w:numPr>
          <w:ilvl w:val="0"/>
          <w:numId w:val="8"/>
        </w:numPr>
        <w:ind w:left="567" w:hanging="567"/>
        <w:outlineLvl w:val="0"/>
        <w:rPr>
          <w:b/>
          <w:szCs w:val="22"/>
        </w:rPr>
      </w:pPr>
      <w:r w:rsidRPr="008C04DA">
        <w:rPr>
          <w:b/>
          <w:szCs w:val="22"/>
        </w:rPr>
        <w:t xml:space="preserve">PROPOSALS </w:t>
      </w:r>
    </w:p>
    <w:p w:rsidR="00EF3B6C" w:rsidRDefault="00EF3B6C" w:rsidP="00EF3B6C">
      <w:pPr>
        <w:keepNext/>
        <w:ind w:left="567"/>
        <w:outlineLvl w:val="0"/>
        <w:rPr>
          <w:b/>
          <w:szCs w:val="22"/>
        </w:rPr>
      </w:pPr>
    </w:p>
    <w:p w:rsidR="00EF3B6C" w:rsidRDefault="009D3E4A" w:rsidP="001C1ECC">
      <w:pPr>
        <w:pStyle w:val="ListParagraph"/>
        <w:numPr>
          <w:ilvl w:val="1"/>
          <w:numId w:val="8"/>
        </w:numPr>
        <w:rPr>
          <w:rFonts w:ascii="Arial" w:hAnsi="Arial" w:cs="Arial"/>
        </w:rPr>
      </w:pPr>
      <w:r w:rsidRPr="00F44C89">
        <w:rPr>
          <w:rFonts w:ascii="Arial" w:hAnsi="Arial" w:cs="Arial"/>
        </w:rPr>
        <w:t>That the draft ‘Private Sector Housing Enforcement Policy’ and ‘Private Sector Housing Civil Penalties Enforcement Guidance’</w:t>
      </w:r>
      <w:r w:rsidR="001C1ECC" w:rsidRPr="00F44C89">
        <w:rPr>
          <w:rFonts w:ascii="Arial" w:hAnsi="Arial" w:cs="Arial"/>
        </w:rPr>
        <w:t xml:space="preserve"> </w:t>
      </w:r>
      <w:r w:rsidRPr="00F44C89">
        <w:rPr>
          <w:rFonts w:ascii="Arial" w:hAnsi="Arial" w:cs="Arial"/>
        </w:rPr>
        <w:t>be appro</w:t>
      </w:r>
      <w:r w:rsidR="001C1ECC" w:rsidRPr="00F44C89">
        <w:rPr>
          <w:rFonts w:ascii="Arial" w:hAnsi="Arial" w:cs="Arial"/>
        </w:rPr>
        <w:t>v</w:t>
      </w:r>
      <w:r w:rsidRPr="00F44C89">
        <w:rPr>
          <w:rFonts w:ascii="Arial" w:hAnsi="Arial" w:cs="Arial"/>
        </w:rPr>
        <w:t>ed</w:t>
      </w:r>
      <w:r w:rsidR="001C1ECC" w:rsidRPr="00F44C89">
        <w:rPr>
          <w:rFonts w:ascii="Arial" w:hAnsi="Arial" w:cs="Arial"/>
        </w:rPr>
        <w:t>.</w:t>
      </w:r>
    </w:p>
    <w:p w:rsidR="007A0801" w:rsidRPr="000828CC"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rsidR="007A0801" w:rsidRPr="000828CC" w:rsidRDefault="007A0801" w:rsidP="007A0801">
      <w:pPr>
        <w:ind w:left="567"/>
        <w:rPr>
          <w:rFonts w:cs="Arial"/>
          <w:b/>
        </w:rPr>
      </w:pPr>
    </w:p>
    <w:p w:rsidR="001A24F9" w:rsidRPr="001C1ECC" w:rsidRDefault="001C1ECC" w:rsidP="007A0801">
      <w:pPr>
        <w:numPr>
          <w:ilvl w:val="1"/>
          <w:numId w:val="8"/>
        </w:numPr>
        <w:ind w:left="567" w:hanging="567"/>
        <w:rPr>
          <w:rFonts w:cs="Arial"/>
          <w:b/>
        </w:rPr>
      </w:pPr>
      <w:r w:rsidRPr="001C1ECC">
        <w:rPr>
          <w:rFonts w:cs="Arial"/>
        </w:rPr>
        <w:t>None, the provisions have been provided via a statutory instrument.</w:t>
      </w:r>
    </w:p>
    <w:p w:rsidR="001A24F9" w:rsidRPr="000828CC" w:rsidRDefault="001A24F9" w:rsidP="001A24F9">
      <w:pPr>
        <w:ind w:left="360"/>
        <w:rPr>
          <w:rFonts w:cs="Arial"/>
          <w:b/>
          <w:color w:val="2E74B5" w:themeColor="accent1" w:themeShade="BF"/>
        </w:rPr>
      </w:pPr>
    </w:p>
    <w:p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1A24F9" w:rsidRPr="001C1ECC" w:rsidRDefault="001C1ECC" w:rsidP="007A0801">
      <w:pPr>
        <w:numPr>
          <w:ilvl w:val="1"/>
          <w:numId w:val="8"/>
        </w:numPr>
        <w:ind w:left="567" w:hanging="567"/>
        <w:rPr>
          <w:rFonts w:cs="Arial"/>
          <w:b/>
        </w:rPr>
      </w:pPr>
      <w:r w:rsidRPr="001C1ECC">
        <w:rPr>
          <w:rFonts w:cs="Arial"/>
        </w:rPr>
        <w:t>None.</w:t>
      </w:r>
    </w:p>
    <w:p w:rsidR="001A24F9" w:rsidRPr="000828CC" w:rsidRDefault="001A24F9" w:rsidP="001A24F9">
      <w:pPr>
        <w:rPr>
          <w:rFonts w:cs="Arial"/>
          <w:b/>
        </w:rPr>
      </w:pPr>
    </w:p>
    <w:p w:rsidR="001A24F9" w:rsidRPr="000828CC" w:rsidRDefault="001A24F9" w:rsidP="000427E0">
      <w:pPr>
        <w:numPr>
          <w:ilvl w:val="0"/>
          <w:numId w:val="8"/>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1A24F9" w:rsidRPr="009D3E4A" w:rsidRDefault="009D3E4A" w:rsidP="009D3E4A">
      <w:pPr>
        <w:numPr>
          <w:ilvl w:val="1"/>
          <w:numId w:val="8"/>
        </w:numPr>
        <w:jc w:val="both"/>
        <w:rPr>
          <w:rFonts w:cs="Arial"/>
          <w:caps/>
        </w:rPr>
      </w:pPr>
      <w:r w:rsidRPr="009D3E4A">
        <w:rPr>
          <w:rFonts w:cs="Arial"/>
        </w:rPr>
        <w:t>Approval of the policies and guidance will have no direct financial implication. Any sums paid in respect of a civil penalty are ring-fenced for use to further the local housing authority’s statutory functions in relation to their enforcement activities covering the private rented sector</w:t>
      </w:r>
      <w:r>
        <w:rPr>
          <w:rFonts w:cs="Arial"/>
        </w:rPr>
        <w:t>.</w:t>
      </w:r>
    </w:p>
    <w:p w:rsidR="001A24F9" w:rsidRPr="000828CC" w:rsidRDefault="001A24F9" w:rsidP="001A24F9">
      <w:pPr>
        <w:rPr>
          <w:rFonts w:cs="Arial"/>
          <w:b/>
          <w:color w:val="2E74B5" w:themeColor="accent1" w:themeShade="BF"/>
        </w:rPr>
      </w:pPr>
    </w:p>
    <w:p w:rsidR="007A0801" w:rsidRPr="000828CC" w:rsidRDefault="007A0801" w:rsidP="000427E0">
      <w:pPr>
        <w:numPr>
          <w:ilvl w:val="0"/>
          <w:numId w:val="8"/>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2278C3" w:rsidRDefault="007A0801" w:rsidP="002278C3">
      <w:pPr>
        <w:ind w:left="567" w:hanging="567"/>
        <w:rPr>
          <w:szCs w:val="22"/>
        </w:rPr>
      </w:pPr>
      <w:r w:rsidRPr="000828CC">
        <w:rPr>
          <w:rFonts w:cs="Arial"/>
          <w:caps/>
        </w:rPr>
        <w:t>1</w:t>
      </w:r>
      <w:r w:rsidR="002278C3">
        <w:rPr>
          <w:rFonts w:cs="Arial"/>
          <w:caps/>
        </w:rPr>
        <w:t>0</w:t>
      </w:r>
      <w:r w:rsidRPr="000828CC">
        <w:rPr>
          <w:rFonts w:cs="Arial"/>
          <w:caps/>
        </w:rPr>
        <w:t>.1</w:t>
      </w:r>
      <w:r w:rsidRPr="000828CC">
        <w:rPr>
          <w:rFonts w:cs="Arial"/>
          <w:caps/>
        </w:rPr>
        <w:tab/>
      </w:r>
      <w:r w:rsidR="002278C3">
        <w:rPr>
          <w:rFonts w:cs="Arial"/>
          <w:caps/>
        </w:rPr>
        <w:t>T</w:t>
      </w:r>
      <w:r w:rsidR="002278C3">
        <w:rPr>
          <w:rFonts w:cs="Arial"/>
        </w:rPr>
        <w:t>he</w:t>
      </w:r>
      <w:r w:rsidR="002278C3">
        <w:rPr>
          <w:rFonts w:cs="Arial"/>
          <w:caps/>
        </w:rPr>
        <w:t xml:space="preserve"> ‘</w:t>
      </w:r>
      <w:r w:rsidR="002278C3" w:rsidRPr="00FA2963">
        <w:rPr>
          <w:i/>
          <w:szCs w:val="22"/>
        </w:rPr>
        <w:t>Private Sector Housing Enforcement Policy’</w:t>
      </w:r>
      <w:r w:rsidR="002278C3">
        <w:rPr>
          <w:szCs w:val="22"/>
        </w:rPr>
        <w:t xml:space="preserve"> has been written in line with the Council’s general enforcement policy taking into account the Regulators Compliance Code &amp; the Enforcement Concordat. Any decisions would need to be in line with the Planning and Housing Act 2016, and the Housing Act 2004.</w:t>
      </w:r>
    </w:p>
    <w:p w:rsidR="002278C3" w:rsidRDefault="002278C3" w:rsidP="002278C3">
      <w:pPr>
        <w:ind w:left="567" w:hanging="567"/>
        <w:rPr>
          <w:szCs w:val="22"/>
        </w:rPr>
      </w:pPr>
    </w:p>
    <w:p w:rsidR="002278C3" w:rsidRPr="00037593" w:rsidRDefault="002278C3" w:rsidP="002278C3">
      <w:pPr>
        <w:ind w:left="567" w:hanging="567"/>
        <w:rPr>
          <w:szCs w:val="22"/>
        </w:rPr>
      </w:pPr>
      <w:r>
        <w:rPr>
          <w:szCs w:val="22"/>
        </w:rPr>
        <w:t>10.2</w:t>
      </w:r>
      <w:r>
        <w:rPr>
          <w:szCs w:val="22"/>
        </w:rPr>
        <w:tab/>
        <w:t xml:space="preserve">The </w:t>
      </w:r>
      <w:r w:rsidRPr="00AF7179">
        <w:rPr>
          <w:i/>
          <w:szCs w:val="22"/>
        </w:rPr>
        <w:t>‘Private Sector Housing Civil Penalties Enforcement Guidance’</w:t>
      </w:r>
      <w:r w:rsidR="00037593">
        <w:rPr>
          <w:i/>
          <w:szCs w:val="22"/>
        </w:rPr>
        <w:t xml:space="preserve"> </w:t>
      </w:r>
      <w:r w:rsidR="00037593" w:rsidRPr="00037593">
        <w:rPr>
          <w:szCs w:val="22"/>
        </w:rPr>
        <w:t>details the process to be followed to determine an appropriate and fair penalty for housing offences. The document has been written in line with the statutory guidance accompanying the Planning and Housing Act 2016.</w:t>
      </w:r>
    </w:p>
    <w:p w:rsidR="007A0801" w:rsidRPr="007A0801" w:rsidRDefault="007A0801" w:rsidP="007A0801">
      <w:pPr>
        <w:rPr>
          <w:rFonts w:cs="Arial"/>
          <w:caps/>
        </w:rPr>
      </w:pPr>
    </w:p>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7A0801" w:rsidRDefault="009D3E4A" w:rsidP="007A0801">
      <w:pPr>
        <w:numPr>
          <w:ilvl w:val="1"/>
          <w:numId w:val="8"/>
        </w:numPr>
        <w:ind w:left="567" w:hanging="567"/>
        <w:rPr>
          <w:rFonts w:cs="Arial"/>
          <w:b/>
          <w:caps/>
        </w:rPr>
      </w:pPr>
      <w:r w:rsidRPr="009D3E4A">
        <w:rPr>
          <w:rFonts w:cs="Arial"/>
        </w:rPr>
        <w:t>None</w:t>
      </w:r>
      <w:r w:rsidR="001A24F9" w:rsidRPr="007A0801">
        <w:rPr>
          <w:rFonts w:cs="Arial"/>
          <w:i/>
          <w:color w:val="4472C4"/>
        </w:rPr>
        <w:t>.</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911FD5" w:rsidRDefault="009D3E4A" w:rsidP="00911FD5">
      <w:pPr>
        <w:numPr>
          <w:ilvl w:val="1"/>
          <w:numId w:val="8"/>
        </w:numPr>
        <w:ind w:left="567" w:hanging="567"/>
        <w:rPr>
          <w:rFonts w:cs="Arial"/>
          <w:caps/>
        </w:rPr>
      </w:pPr>
      <w:r w:rsidRPr="009D3E4A">
        <w:rPr>
          <w:rFonts w:cs="Arial"/>
        </w:rPr>
        <w:t>None</w:t>
      </w:r>
      <w:r w:rsidR="001A24F9" w:rsidRPr="00911FD5">
        <w:rPr>
          <w:rFonts w:cs="Arial"/>
          <w:i/>
          <w:color w:val="4472C4"/>
        </w:rPr>
        <w:t>.</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911FD5" w:rsidRDefault="009D3E4A" w:rsidP="00911FD5">
      <w:pPr>
        <w:numPr>
          <w:ilvl w:val="1"/>
          <w:numId w:val="8"/>
        </w:numPr>
        <w:ind w:left="567" w:hanging="567"/>
        <w:rPr>
          <w:rFonts w:cs="Arial"/>
          <w:b/>
          <w:caps/>
        </w:rPr>
      </w:pPr>
      <w:r w:rsidRPr="009D3E4A">
        <w:rPr>
          <w:rFonts w:cs="Arial"/>
        </w:rPr>
        <w:t>None</w:t>
      </w:r>
      <w:r w:rsidR="001A24F9" w:rsidRPr="00911FD5">
        <w:rPr>
          <w:rFonts w:cs="Arial"/>
          <w:i/>
          <w:color w:val="4472C4"/>
        </w:rPr>
        <w:t>.</w:t>
      </w:r>
    </w:p>
    <w:p w:rsidR="001A24F9" w:rsidRDefault="001A24F9" w:rsidP="001A24F9">
      <w:pPr>
        <w:ind w:left="284"/>
        <w:rPr>
          <w:rFonts w:cs="Arial"/>
          <w:b/>
        </w:rPr>
      </w:pPr>
    </w:p>
    <w:p w:rsidR="009063C4" w:rsidRPr="006D1F02" w:rsidRDefault="009063C4" w:rsidP="001A24F9">
      <w:pPr>
        <w:ind w:left="284"/>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1A24F9" w:rsidRPr="00F44C89" w:rsidRDefault="00F44C89" w:rsidP="00911FD5">
      <w:pPr>
        <w:numPr>
          <w:ilvl w:val="1"/>
          <w:numId w:val="8"/>
        </w:numPr>
        <w:ind w:left="567" w:hanging="567"/>
        <w:rPr>
          <w:rFonts w:cs="Arial"/>
          <w:b/>
        </w:rPr>
      </w:pPr>
      <w:r>
        <w:rPr>
          <w:rFonts w:cs="Arial"/>
        </w:rPr>
        <w:t>May result in additional appeals.</w:t>
      </w:r>
    </w:p>
    <w:p w:rsidR="008770BE" w:rsidRPr="0037228A" w:rsidRDefault="008770BE" w:rsidP="001A24F9">
      <w:pPr>
        <w:rPr>
          <w:rFonts w:cs="Arial"/>
          <w:i/>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FA2963" w:rsidRDefault="00FA2963" w:rsidP="00BE0127">
      <w:pPr>
        <w:numPr>
          <w:ilvl w:val="1"/>
          <w:numId w:val="8"/>
        </w:numPr>
        <w:ind w:left="567" w:hanging="567"/>
        <w:rPr>
          <w:rFonts w:cs="Arial"/>
          <w:b/>
        </w:rPr>
      </w:pPr>
      <w:r w:rsidRPr="00FA2963">
        <w:rPr>
          <w:rFonts w:cs="Arial"/>
        </w:rPr>
        <w:t>The</w:t>
      </w:r>
      <w:r w:rsidRPr="00FA2963">
        <w:rPr>
          <w:rFonts w:cs="Arial"/>
          <w:i/>
        </w:rPr>
        <w:t xml:space="preserve"> </w:t>
      </w:r>
      <w:r>
        <w:rPr>
          <w:i/>
          <w:szCs w:val="22"/>
        </w:rPr>
        <w:t>‘</w:t>
      </w:r>
      <w:r w:rsidRPr="00FA2963">
        <w:rPr>
          <w:i/>
          <w:szCs w:val="22"/>
        </w:rPr>
        <w:t>Private Sector Housing Enforcement Policy’</w:t>
      </w:r>
      <w:r w:rsidRPr="00FA2963">
        <w:rPr>
          <w:szCs w:val="22"/>
        </w:rPr>
        <w:t xml:space="preserve"> and </w:t>
      </w:r>
      <w:r w:rsidRPr="00FA2963">
        <w:rPr>
          <w:i/>
          <w:szCs w:val="22"/>
        </w:rPr>
        <w:t>‘Private Sector Housing Civil Penalties Enforcement Guidance’</w:t>
      </w:r>
      <w:r w:rsidRPr="00FA2963">
        <w:rPr>
          <w:szCs w:val="22"/>
        </w:rPr>
        <w:t xml:space="preserve"> apply to all housing enforcement work undertaken by the Council.</w:t>
      </w:r>
    </w:p>
    <w:p w:rsidR="008770BE" w:rsidRPr="00BE0127" w:rsidRDefault="008770BE" w:rsidP="008770BE">
      <w:pPr>
        <w:ind w:left="567"/>
        <w:rPr>
          <w:rFonts w:cs="Arial"/>
          <w:b/>
        </w:rPr>
      </w:pPr>
    </w:p>
    <w:p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911FD5" w:rsidRDefault="00911FD5" w:rsidP="00911FD5">
      <w:pPr>
        <w:pStyle w:val="ListParagraph"/>
        <w:ind w:left="567"/>
        <w:rPr>
          <w:rFonts w:ascii="Arial" w:hAnsi="Arial" w:cs="Arial"/>
          <w:b/>
        </w:rPr>
      </w:pPr>
    </w:p>
    <w:p w:rsidR="001A24F9" w:rsidRPr="009567DA" w:rsidRDefault="009567DA" w:rsidP="009567DA">
      <w:pPr>
        <w:pStyle w:val="ListParagraph"/>
        <w:numPr>
          <w:ilvl w:val="1"/>
          <w:numId w:val="8"/>
        </w:numPr>
        <w:rPr>
          <w:rFonts w:ascii="Arial" w:hAnsi="Arial" w:cs="Arial"/>
        </w:rPr>
      </w:pPr>
      <w:r w:rsidRPr="009567DA">
        <w:rPr>
          <w:rFonts w:ascii="Arial" w:hAnsi="Arial" w:cs="Arial"/>
        </w:rPr>
        <w:t>That Cabinet agree to adopt the draft ‘Private Sector Housing Enforcement Policy’ and ‘Private Sector Housing Civil Penalties Enforcement Guidance’.</w:t>
      </w: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1A24F9" w:rsidRPr="00970C70" w:rsidRDefault="001A24F9" w:rsidP="00911FD5">
      <w:pPr>
        <w:numPr>
          <w:ilvl w:val="1"/>
          <w:numId w:val="8"/>
        </w:numPr>
        <w:ind w:left="567" w:hanging="567"/>
        <w:rPr>
          <w:rFonts w:cs="Arial"/>
          <w:b/>
          <w:color w:val="2E74B5" w:themeColor="accent1" w:themeShade="BF"/>
        </w:rPr>
      </w:pPr>
      <w:r w:rsidRPr="00970C70">
        <w:rPr>
          <w:rFonts w:cs="Arial"/>
          <w:i/>
          <w:color w:val="2E74B5" w:themeColor="accent1" w:themeShade="BF"/>
        </w:rPr>
        <w:t xml:space="preserve">This section is to be completed by the Chief Finance Officer (s151) (or by the Deputy Section 151 Officer if not available) as it must also comment on the impact on all aspects of the total </w:t>
      </w:r>
      <w:r w:rsidRPr="00970C70">
        <w:rPr>
          <w:i/>
          <w:color w:val="2E74B5" w:themeColor="accent1" w:themeShade="BF"/>
        </w:rPr>
        <w:t>organisational budget.</w:t>
      </w: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FA3405" w:rsidRPr="005F2EE3" w:rsidRDefault="002278C3" w:rsidP="00911FD5">
      <w:pPr>
        <w:numPr>
          <w:ilvl w:val="1"/>
          <w:numId w:val="8"/>
        </w:numPr>
        <w:ind w:left="567" w:hanging="567"/>
        <w:rPr>
          <w:rFonts w:cs="Arial"/>
          <w:b/>
        </w:rPr>
      </w:pPr>
      <w:r w:rsidRPr="005F2EE3">
        <w:rPr>
          <w:rFonts w:cs="Arial"/>
          <w:i/>
        </w:rPr>
        <w:t xml:space="preserve">The </w:t>
      </w:r>
      <w:r w:rsidR="00FA3405" w:rsidRPr="005F2EE3">
        <w:rPr>
          <w:rFonts w:cs="Arial"/>
          <w:i/>
        </w:rPr>
        <w:t>relevant statut</w:t>
      </w:r>
      <w:r w:rsidR="00FB4621" w:rsidRPr="005F2EE3">
        <w:rPr>
          <w:rFonts w:cs="Arial"/>
          <w:i/>
        </w:rPr>
        <w:t>ory provisions underpinning the proposals</w:t>
      </w:r>
      <w:r w:rsidR="00FA3405" w:rsidRPr="005F2EE3">
        <w:rPr>
          <w:rFonts w:cs="Arial"/>
          <w:i/>
        </w:rPr>
        <w:t xml:space="preserve"> are set out in the Housing and Planning Act 2016 (the 2016 Act) and the Housing Act 2004 (the 2004 Act).</w:t>
      </w:r>
    </w:p>
    <w:p w:rsidR="00FA3405" w:rsidRPr="005F2EE3" w:rsidRDefault="00FA3405" w:rsidP="005F2EE3">
      <w:pPr>
        <w:ind w:left="567"/>
        <w:rPr>
          <w:rFonts w:cs="Arial"/>
          <w:b/>
        </w:rPr>
      </w:pPr>
    </w:p>
    <w:p w:rsidR="00FA3405" w:rsidRPr="005F2EE3" w:rsidRDefault="00FA3405" w:rsidP="00911FD5">
      <w:pPr>
        <w:numPr>
          <w:ilvl w:val="1"/>
          <w:numId w:val="8"/>
        </w:numPr>
        <w:ind w:left="567" w:hanging="567"/>
        <w:rPr>
          <w:rFonts w:cs="Arial"/>
          <w:b/>
        </w:rPr>
      </w:pPr>
      <w:r w:rsidRPr="005F2EE3">
        <w:rPr>
          <w:rFonts w:cs="Arial"/>
          <w:i/>
        </w:rPr>
        <w:t>By virtue of section 126 and Schedule 9 of the 2016 Act the council now has the power to issue a financial penalty as opposed to a prosecution in respect of a number of specified offences under the 2004 Act.</w:t>
      </w:r>
    </w:p>
    <w:p w:rsidR="00FA3405" w:rsidRPr="005F2EE3" w:rsidRDefault="00FA3405" w:rsidP="005F2EE3">
      <w:pPr>
        <w:pStyle w:val="ListParagraph"/>
        <w:rPr>
          <w:rFonts w:cs="Arial"/>
          <w:b/>
        </w:rPr>
      </w:pPr>
    </w:p>
    <w:p w:rsidR="00FA3405" w:rsidRDefault="00FA3405" w:rsidP="005F2EE3">
      <w:pPr>
        <w:numPr>
          <w:ilvl w:val="1"/>
          <w:numId w:val="8"/>
        </w:numPr>
        <w:ind w:left="567" w:hanging="567"/>
        <w:rPr>
          <w:rFonts w:cs="Arial"/>
          <w:b/>
        </w:rPr>
      </w:pPr>
      <w:r w:rsidRPr="005F2EE3">
        <w:rPr>
          <w:rFonts w:cs="Arial"/>
          <w:i/>
        </w:rPr>
        <w:t>The maximum penalty that the council can impose is £30,000. The council must be satisfied that they can prove their case beyond reasonable doubt. Whilst the decision to impose a financial penalty will rest with the Director of Neighbourhoods and Development nevertheless it is important that advice is obtained from the Legal services team before making any such decision in order to assess whether the evidence is sufficiently strong and robust.</w:t>
      </w:r>
    </w:p>
    <w:p w:rsidR="005F2EE3" w:rsidRPr="005F2EE3" w:rsidRDefault="005F2EE3" w:rsidP="005F2EE3">
      <w:pPr>
        <w:ind w:left="567"/>
        <w:rPr>
          <w:rFonts w:cs="Arial"/>
          <w:b/>
        </w:rPr>
      </w:pPr>
    </w:p>
    <w:p w:rsidR="00FA3405" w:rsidRPr="005F2EE3" w:rsidRDefault="00FA3405" w:rsidP="00911FD5">
      <w:pPr>
        <w:numPr>
          <w:ilvl w:val="1"/>
          <w:numId w:val="8"/>
        </w:numPr>
        <w:ind w:left="567" w:hanging="567"/>
        <w:rPr>
          <w:rFonts w:cs="Arial"/>
          <w:b/>
        </w:rPr>
      </w:pPr>
      <w:r w:rsidRPr="005F2EE3">
        <w:rPr>
          <w:rFonts w:cs="Arial"/>
          <w:i/>
        </w:rPr>
        <w:t>Schedule 13 A to the 2016 Act sets out the detailed procedural steps that must be followed as well as explaining that an individual has a right of appeal to the First Tier Tribunal against any decision to impose a financial penalty or against the amount of such a penalty.</w:t>
      </w:r>
    </w:p>
    <w:p w:rsidR="00FA3405" w:rsidRPr="005F2EE3" w:rsidRDefault="00FA3405" w:rsidP="005F2EE3">
      <w:pPr>
        <w:ind w:left="567"/>
        <w:rPr>
          <w:rFonts w:cs="Arial"/>
          <w:b/>
        </w:rPr>
      </w:pPr>
    </w:p>
    <w:p w:rsidR="00FB4621" w:rsidRPr="005F2EE3" w:rsidRDefault="00FA3405" w:rsidP="00911FD5">
      <w:pPr>
        <w:numPr>
          <w:ilvl w:val="1"/>
          <w:numId w:val="8"/>
        </w:numPr>
        <w:ind w:left="567" w:hanging="567"/>
        <w:rPr>
          <w:rFonts w:cs="Arial"/>
          <w:b/>
        </w:rPr>
      </w:pPr>
      <w:r w:rsidRPr="005F2EE3">
        <w:rPr>
          <w:rFonts w:cs="Arial"/>
          <w:i/>
        </w:rPr>
        <w:t xml:space="preserve">The attached Civic Penalties Enforcement Guidance is intended to provide detailed guidance on how this new regime will apply.  </w:t>
      </w:r>
    </w:p>
    <w:p w:rsidR="00FB4621" w:rsidRPr="005F2EE3" w:rsidRDefault="00FB4621" w:rsidP="005F2EE3">
      <w:pPr>
        <w:rPr>
          <w:rFonts w:cs="Arial"/>
          <w:i/>
        </w:rPr>
      </w:pPr>
    </w:p>
    <w:p w:rsidR="000427E0" w:rsidRPr="005F2EE3" w:rsidRDefault="00FB4621" w:rsidP="00911FD5">
      <w:pPr>
        <w:numPr>
          <w:ilvl w:val="1"/>
          <w:numId w:val="8"/>
        </w:numPr>
        <w:ind w:left="567" w:hanging="567"/>
        <w:rPr>
          <w:rFonts w:cs="Arial"/>
          <w:b/>
        </w:rPr>
      </w:pPr>
      <w:r w:rsidRPr="005F2EE3">
        <w:rPr>
          <w:rFonts w:cs="Arial"/>
          <w:i/>
        </w:rPr>
        <w:t>The Private Sector Housing Enforcement Policy has been written in line with relevant guidance and statutory provisions.</w:t>
      </w:r>
      <w:r w:rsidR="00FA3405" w:rsidRPr="005F2EE3">
        <w:rPr>
          <w:rFonts w:cs="Arial"/>
          <w:i/>
        </w:rPr>
        <w:t xml:space="preserve"> </w:t>
      </w:r>
    </w:p>
    <w:p w:rsidR="000427E0" w:rsidRDefault="000427E0" w:rsidP="000427E0">
      <w:pPr>
        <w:ind w:left="567"/>
        <w:rPr>
          <w:rFonts w:cs="Arial"/>
          <w:b/>
        </w:rPr>
      </w:pPr>
    </w:p>
    <w:p w:rsidR="001A24F9" w:rsidRDefault="009567DA" w:rsidP="000427E0">
      <w:pPr>
        <w:numPr>
          <w:ilvl w:val="0"/>
          <w:numId w:val="8"/>
        </w:numPr>
        <w:ind w:left="567" w:hanging="567"/>
        <w:rPr>
          <w:rFonts w:cs="Arial"/>
          <w:b/>
        </w:rPr>
      </w:pPr>
      <w:r>
        <w:rPr>
          <w:rFonts w:cs="Arial"/>
          <w:b/>
        </w:rPr>
        <w:t xml:space="preserve">BACKGROUND DOCUMENTS </w:t>
      </w:r>
    </w:p>
    <w:p w:rsidR="00911FD5" w:rsidRDefault="00911FD5" w:rsidP="00911FD5">
      <w:pPr>
        <w:ind w:left="567"/>
        <w:rPr>
          <w:rFonts w:cs="Arial"/>
          <w:b/>
        </w:rPr>
      </w:pPr>
    </w:p>
    <w:p w:rsidR="004C2F94" w:rsidRPr="009D3E4A" w:rsidRDefault="009D3E4A" w:rsidP="004C2F94">
      <w:pPr>
        <w:numPr>
          <w:ilvl w:val="1"/>
          <w:numId w:val="8"/>
        </w:numPr>
        <w:ind w:left="567" w:hanging="567"/>
        <w:rPr>
          <w:rFonts w:cs="Arial"/>
        </w:rPr>
      </w:pPr>
      <w:r w:rsidRPr="009D3E4A">
        <w:t>Housing Act 2004</w:t>
      </w:r>
    </w:p>
    <w:p w:rsidR="009D3E4A" w:rsidRPr="009D3E4A" w:rsidRDefault="009D3E4A" w:rsidP="004C2F94">
      <w:pPr>
        <w:numPr>
          <w:ilvl w:val="1"/>
          <w:numId w:val="8"/>
        </w:numPr>
        <w:ind w:left="567" w:hanging="567"/>
        <w:rPr>
          <w:rFonts w:cs="Arial"/>
        </w:rPr>
      </w:pPr>
      <w:r w:rsidRPr="009D3E4A">
        <w:t>Planning and Housing Act 2016</w:t>
      </w:r>
    </w:p>
    <w:p w:rsidR="009D3E4A" w:rsidRPr="009D3E4A" w:rsidRDefault="009D3E4A" w:rsidP="009D3E4A">
      <w:pPr>
        <w:numPr>
          <w:ilvl w:val="1"/>
          <w:numId w:val="8"/>
        </w:numPr>
        <w:ind w:left="567" w:hanging="567"/>
        <w:rPr>
          <w:rFonts w:cs="Arial"/>
        </w:rPr>
      </w:pPr>
      <w:r w:rsidRPr="009D3E4A">
        <w:rPr>
          <w:rFonts w:cs="Arial"/>
        </w:rPr>
        <w:t>Civil penalties under the Housing and Planning Act 2016 Guidance for Local Housing Authorities</w:t>
      </w:r>
    </w:p>
    <w:p w:rsidR="004C2F94" w:rsidRPr="00970C70" w:rsidRDefault="004C2F94" w:rsidP="004C2F94">
      <w:pPr>
        <w:ind w:left="720"/>
        <w:rPr>
          <w:rFonts w:cs="Arial"/>
          <w:b/>
          <w:color w:val="2E74B5" w:themeColor="accent1" w:themeShade="BF"/>
        </w:rPr>
      </w:pPr>
    </w:p>
    <w:p w:rsidR="004C2F94" w:rsidRPr="004C2F94" w:rsidRDefault="004C2F94" w:rsidP="004C2F94">
      <w:pPr>
        <w:rPr>
          <w:b/>
        </w:rPr>
      </w:pPr>
      <w:r w:rsidRPr="000828CC">
        <w:rPr>
          <w:b/>
        </w:rPr>
        <w:t>21.</w:t>
      </w:r>
      <w:r w:rsidRPr="000828CC">
        <w:rPr>
          <w:b/>
          <w:color w:val="0070C0"/>
        </w:rPr>
        <w:tab/>
      </w:r>
      <w:r w:rsidR="009567DA">
        <w:rPr>
          <w:b/>
        </w:rPr>
        <w:t xml:space="preserve">APPENDICES </w:t>
      </w:r>
    </w:p>
    <w:p w:rsidR="004C2F94" w:rsidRPr="004C2F94" w:rsidRDefault="004C2F94" w:rsidP="004C2F94">
      <w:pPr>
        <w:rPr>
          <w:rFonts w:cs="Arial"/>
          <w:b/>
        </w:rPr>
      </w:pPr>
    </w:p>
    <w:p w:rsidR="0037228A" w:rsidRPr="009D3E4A" w:rsidRDefault="004C2F94" w:rsidP="004C2F94">
      <w:pPr>
        <w:ind w:left="720" w:hanging="720"/>
      </w:pPr>
      <w:r w:rsidRPr="004C2F94">
        <w:rPr>
          <w:rFonts w:cs="Arial"/>
        </w:rPr>
        <w:t>21.1</w:t>
      </w:r>
      <w:r>
        <w:rPr>
          <w:rFonts w:cs="Arial"/>
        </w:rPr>
        <w:tab/>
      </w:r>
      <w:r w:rsidR="0037228A" w:rsidRPr="009D3E4A">
        <w:t>Appendix A</w:t>
      </w:r>
      <w:r w:rsidR="009D3E4A" w:rsidRPr="009D3E4A">
        <w:t xml:space="preserve"> - </w:t>
      </w:r>
      <w:r w:rsidR="009D3E4A" w:rsidRPr="009D3E4A">
        <w:rPr>
          <w:szCs w:val="22"/>
        </w:rPr>
        <w:t>Private Sector Housing Enforcement Policy</w:t>
      </w:r>
    </w:p>
    <w:p w:rsidR="0037228A" w:rsidRPr="009D3E4A" w:rsidRDefault="004C2F94" w:rsidP="004C2F94">
      <w:pPr>
        <w:ind w:left="720" w:hanging="720"/>
        <w:rPr>
          <w:rFonts w:cs="Arial"/>
        </w:rPr>
      </w:pPr>
      <w:r w:rsidRPr="009D3E4A">
        <w:tab/>
      </w:r>
      <w:r w:rsidR="0037228A" w:rsidRPr="009D3E4A">
        <w:t xml:space="preserve">Appendix B </w:t>
      </w:r>
      <w:r w:rsidR="009D3E4A" w:rsidRPr="009D3E4A">
        <w:t xml:space="preserve">- </w:t>
      </w:r>
      <w:r w:rsidR="009D3E4A" w:rsidRPr="009D3E4A">
        <w:rPr>
          <w:szCs w:val="22"/>
        </w:rPr>
        <w:t>Private Sector Housing Civil Penalties Enforcement Guidance</w:t>
      </w:r>
    </w:p>
    <w:p w:rsidR="0037228A" w:rsidRDefault="0037228A" w:rsidP="0037228A">
      <w:pPr>
        <w:tabs>
          <w:tab w:val="left" w:pos="2839"/>
        </w:tabs>
        <w:ind w:left="1146"/>
        <w:rPr>
          <w:b/>
        </w:rPr>
      </w:pPr>
    </w:p>
    <w:p w:rsidR="0037228A" w:rsidRDefault="0037228A" w:rsidP="0037228A">
      <w:pPr>
        <w:tabs>
          <w:tab w:val="left" w:pos="2839"/>
        </w:tabs>
        <w:ind w:left="1146"/>
        <w:rPr>
          <w:b/>
        </w:rPr>
      </w:pPr>
    </w:p>
    <w:p w:rsidR="0037228A" w:rsidRPr="009D3E4A" w:rsidRDefault="009D3E4A" w:rsidP="0037228A">
      <w:pPr>
        <w:tabs>
          <w:tab w:val="left" w:pos="2839"/>
        </w:tabs>
        <w:ind w:left="426" w:hanging="426"/>
        <w:rPr>
          <w:rFonts w:cs="Arial"/>
        </w:rPr>
      </w:pPr>
      <w:r w:rsidRPr="009D3E4A">
        <w:rPr>
          <w:rFonts w:cs="Arial"/>
        </w:rPr>
        <w:t>Jennifer Mullin</w:t>
      </w:r>
      <w:r w:rsidR="00621D7D" w:rsidRPr="009D3E4A">
        <w:rPr>
          <w:rFonts w:cs="Arial"/>
        </w:rPr>
        <w:t>:</w:t>
      </w:r>
    </w:p>
    <w:p w:rsidR="0037228A" w:rsidRPr="009D3E4A" w:rsidRDefault="009D3E4A" w:rsidP="0037228A">
      <w:pPr>
        <w:tabs>
          <w:tab w:val="left" w:pos="2839"/>
        </w:tabs>
        <w:rPr>
          <w:rFonts w:cs="Arial"/>
        </w:rPr>
      </w:pPr>
      <w:r w:rsidRPr="009D3E4A">
        <w:rPr>
          <w:rFonts w:cs="Arial"/>
        </w:rPr>
        <w:t>Director of Neighbourhoods &amp; Developments</w:t>
      </w:r>
      <w:r w:rsidR="00A162DE" w:rsidRPr="009D3E4A">
        <w:rPr>
          <w:rFonts w:cs="Arial"/>
        </w:rPr>
        <w:t xml:space="preserve"> </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554"/>
        <w:gridCol w:w="2350"/>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9D3E4A" w:rsidRDefault="009567DA" w:rsidP="0031059E">
            <w:pPr>
              <w:rPr>
                <w:rFonts w:cs="Arial"/>
              </w:rPr>
            </w:pPr>
            <w:r>
              <w:rPr>
                <w:rFonts w:cs="Arial"/>
              </w:rPr>
              <w:t>Neil Martin, Senior Environmental Health Officer</w:t>
            </w:r>
          </w:p>
          <w:p w:rsidR="0037228A" w:rsidRPr="0031059E" w:rsidRDefault="0037228A" w:rsidP="0031059E">
            <w:pPr>
              <w:ind w:left="-539" w:firstLine="539"/>
              <w:rPr>
                <w:rFonts w:cs="Arial"/>
              </w:rPr>
            </w:pPr>
          </w:p>
        </w:tc>
        <w:tc>
          <w:tcPr>
            <w:tcW w:w="1559" w:type="dxa"/>
            <w:shd w:val="clear" w:color="auto" w:fill="auto"/>
          </w:tcPr>
          <w:p w:rsidR="0037228A" w:rsidRPr="0031059E" w:rsidRDefault="00621D7D" w:rsidP="009D3E4A">
            <w:pPr>
              <w:rPr>
                <w:rFonts w:cs="Arial"/>
              </w:rPr>
            </w:pPr>
            <w:r>
              <w:rPr>
                <w:rFonts w:cs="Arial"/>
              </w:rPr>
              <w:t>01772 62</w:t>
            </w:r>
            <w:r w:rsidR="009D3E4A">
              <w:rPr>
                <w:rFonts w:cs="Arial"/>
              </w:rPr>
              <w:t>5329</w:t>
            </w:r>
          </w:p>
        </w:tc>
        <w:tc>
          <w:tcPr>
            <w:tcW w:w="2380" w:type="dxa"/>
            <w:shd w:val="clear" w:color="auto" w:fill="auto"/>
          </w:tcPr>
          <w:p w:rsidR="0037228A" w:rsidRPr="0031059E" w:rsidRDefault="009D3E4A" w:rsidP="0031059E">
            <w:pPr>
              <w:rPr>
                <w:rFonts w:cs="Arial"/>
              </w:rPr>
            </w:pPr>
            <w:r>
              <w:rPr>
                <w:rFonts w:cs="Arial"/>
              </w:rPr>
              <w:t>14</w:t>
            </w:r>
            <w:r w:rsidRPr="009D3E4A">
              <w:rPr>
                <w:rFonts w:cs="Arial"/>
                <w:vertAlign w:val="superscript"/>
              </w:rPr>
              <w:t>th</w:t>
            </w:r>
            <w:r>
              <w:rPr>
                <w:rFonts w:cs="Arial"/>
              </w:rPr>
              <w:t xml:space="preserve"> August 2018</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F1" w:rsidRDefault="009846F1">
      <w:r>
        <w:separator/>
      </w:r>
    </w:p>
  </w:endnote>
  <w:endnote w:type="continuationSeparator" w:id="0">
    <w:p w:rsidR="009846F1" w:rsidRDefault="0098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F1" w:rsidRDefault="009846F1">
      <w:r>
        <w:separator/>
      </w:r>
    </w:p>
  </w:footnote>
  <w:footnote w:type="continuationSeparator" w:id="0">
    <w:p w:rsidR="009846F1" w:rsidRDefault="0098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37593"/>
    <w:rsid w:val="000427E0"/>
    <w:rsid w:val="00044775"/>
    <w:rsid w:val="00044F11"/>
    <w:rsid w:val="0006370A"/>
    <w:rsid w:val="00077488"/>
    <w:rsid w:val="000828CC"/>
    <w:rsid w:val="0009466B"/>
    <w:rsid w:val="000D40AB"/>
    <w:rsid w:val="000E10FE"/>
    <w:rsid w:val="000E5A3B"/>
    <w:rsid w:val="000F2C8A"/>
    <w:rsid w:val="0010115F"/>
    <w:rsid w:val="00116662"/>
    <w:rsid w:val="0014052B"/>
    <w:rsid w:val="001544DD"/>
    <w:rsid w:val="00167AEF"/>
    <w:rsid w:val="00176159"/>
    <w:rsid w:val="00184E1D"/>
    <w:rsid w:val="0019545D"/>
    <w:rsid w:val="001A24F9"/>
    <w:rsid w:val="001C1ECC"/>
    <w:rsid w:val="00207251"/>
    <w:rsid w:val="002221BD"/>
    <w:rsid w:val="002278C3"/>
    <w:rsid w:val="00240D10"/>
    <w:rsid w:val="0025591B"/>
    <w:rsid w:val="002820A5"/>
    <w:rsid w:val="00294520"/>
    <w:rsid w:val="002D4745"/>
    <w:rsid w:val="002E4FF4"/>
    <w:rsid w:val="002F5C5E"/>
    <w:rsid w:val="0031059E"/>
    <w:rsid w:val="00331D5F"/>
    <w:rsid w:val="00345C71"/>
    <w:rsid w:val="00357F6B"/>
    <w:rsid w:val="0037228A"/>
    <w:rsid w:val="00386AAD"/>
    <w:rsid w:val="003A1B3F"/>
    <w:rsid w:val="003A23D3"/>
    <w:rsid w:val="003A2919"/>
    <w:rsid w:val="003B1E6D"/>
    <w:rsid w:val="003C36EB"/>
    <w:rsid w:val="003D3DEB"/>
    <w:rsid w:val="003E33E6"/>
    <w:rsid w:val="003F5603"/>
    <w:rsid w:val="00405D4A"/>
    <w:rsid w:val="00407A09"/>
    <w:rsid w:val="004155DC"/>
    <w:rsid w:val="004218EA"/>
    <w:rsid w:val="00442C46"/>
    <w:rsid w:val="0045553F"/>
    <w:rsid w:val="00467204"/>
    <w:rsid w:val="00474DA8"/>
    <w:rsid w:val="00491976"/>
    <w:rsid w:val="004A45D4"/>
    <w:rsid w:val="004C2F94"/>
    <w:rsid w:val="004D7260"/>
    <w:rsid w:val="004F23B3"/>
    <w:rsid w:val="0050340F"/>
    <w:rsid w:val="005041BB"/>
    <w:rsid w:val="00517D50"/>
    <w:rsid w:val="00533525"/>
    <w:rsid w:val="00535349"/>
    <w:rsid w:val="00537F51"/>
    <w:rsid w:val="00547120"/>
    <w:rsid w:val="00547481"/>
    <w:rsid w:val="00552DBD"/>
    <w:rsid w:val="00576A82"/>
    <w:rsid w:val="00594D09"/>
    <w:rsid w:val="005A26AD"/>
    <w:rsid w:val="005B0C36"/>
    <w:rsid w:val="005D4F59"/>
    <w:rsid w:val="005F2EE3"/>
    <w:rsid w:val="0060374B"/>
    <w:rsid w:val="00621D7D"/>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F48FD"/>
    <w:rsid w:val="00703DE3"/>
    <w:rsid w:val="00707E99"/>
    <w:rsid w:val="00712E3F"/>
    <w:rsid w:val="00725380"/>
    <w:rsid w:val="007A0801"/>
    <w:rsid w:val="007B223D"/>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567DA"/>
    <w:rsid w:val="00970C70"/>
    <w:rsid w:val="00980267"/>
    <w:rsid w:val="00983CD5"/>
    <w:rsid w:val="009846F1"/>
    <w:rsid w:val="00992E79"/>
    <w:rsid w:val="009A714A"/>
    <w:rsid w:val="009C1143"/>
    <w:rsid w:val="009D3E4A"/>
    <w:rsid w:val="009D5F9C"/>
    <w:rsid w:val="009E233A"/>
    <w:rsid w:val="009E48E0"/>
    <w:rsid w:val="00A1406A"/>
    <w:rsid w:val="00A162DE"/>
    <w:rsid w:val="00A2078A"/>
    <w:rsid w:val="00A22D02"/>
    <w:rsid w:val="00A30426"/>
    <w:rsid w:val="00A445C9"/>
    <w:rsid w:val="00A4702E"/>
    <w:rsid w:val="00A50754"/>
    <w:rsid w:val="00A62C20"/>
    <w:rsid w:val="00A67215"/>
    <w:rsid w:val="00A72255"/>
    <w:rsid w:val="00A7541A"/>
    <w:rsid w:val="00A76482"/>
    <w:rsid w:val="00A975A7"/>
    <w:rsid w:val="00AB3D95"/>
    <w:rsid w:val="00AC4A99"/>
    <w:rsid w:val="00AF0A33"/>
    <w:rsid w:val="00AF7179"/>
    <w:rsid w:val="00B05FE8"/>
    <w:rsid w:val="00B1788B"/>
    <w:rsid w:val="00B443DD"/>
    <w:rsid w:val="00B51DB8"/>
    <w:rsid w:val="00B62D79"/>
    <w:rsid w:val="00B67225"/>
    <w:rsid w:val="00B70B91"/>
    <w:rsid w:val="00B716F5"/>
    <w:rsid w:val="00B72A06"/>
    <w:rsid w:val="00B766C4"/>
    <w:rsid w:val="00BA2606"/>
    <w:rsid w:val="00BC6635"/>
    <w:rsid w:val="00BD2AFE"/>
    <w:rsid w:val="00BE0127"/>
    <w:rsid w:val="00C022F9"/>
    <w:rsid w:val="00C209E3"/>
    <w:rsid w:val="00C30128"/>
    <w:rsid w:val="00C52450"/>
    <w:rsid w:val="00C64ED1"/>
    <w:rsid w:val="00C65FF9"/>
    <w:rsid w:val="00C66BAA"/>
    <w:rsid w:val="00C80A48"/>
    <w:rsid w:val="00CB32DF"/>
    <w:rsid w:val="00CC3246"/>
    <w:rsid w:val="00CC4337"/>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148A9"/>
    <w:rsid w:val="00F3057A"/>
    <w:rsid w:val="00F30E9C"/>
    <w:rsid w:val="00F44C89"/>
    <w:rsid w:val="00F55E4D"/>
    <w:rsid w:val="00F61752"/>
    <w:rsid w:val="00FA2963"/>
    <w:rsid w:val="00FA3405"/>
    <w:rsid w:val="00FB4621"/>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A9"/>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4</Pages>
  <Words>1272</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2018-09-04T12:20:00Z</dcterms:created>
  <dcterms:modified xsi:type="dcterms:W3CDTF">2018-09-04T12:20:00Z</dcterms:modified>
</cp:coreProperties>
</file>